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 xml:space="preserve">Tyto vzdálenosti platí jak pro osobu provádějící zásah, tak pro veškeré stroje, nástroje, zdvihací a montážní zařízení a musí být odvozeny od nejbližších vodičů pod napětím jak ve </w:t>
      </w:r>
      <w:proofErr w:type="gramStart"/>
      <w:r w:rsidRPr="00771285">
        <w:rPr>
          <w:rFonts w:ascii="Arial" w:hAnsi="Arial" w:cs="Arial"/>
          <w:sz w:val="20"/>
          <w:szCs w:val="20"/>
        </w:rPr>
        <w:t>vodorovném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proofErr w:type="gramEnd"/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proofErr w:type="gramEnd"/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015DF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Dlouhé</cp:lastModifiedBy>
  <cp:revision>2</cp:revision>
  <dcterms:created xsi:type="dcterms:W3CDTF">2023-11-02T10:43:00Z</dcterms:created>
  <dcterms:modified xsi:type="dcterms:W3CDTF">2023-11-02T10:43:00Z</dcterms:modified>
</cp:coreProperties>
</file>